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4BA3F2E" w14:textId="77777777" w:rsidR="004B5FAE" w:rsidRPr="004B5FAE" w:rsidRDefault="004B5FAE" w:rsidP="004B5FAE">
      <w:pPr>
        <w:pStyle w:val="lfej"/>
        <w:suppressAutoHyphens/>
        <w:spacing w:line="240" w:lineRule="atLeast"/>
        <w:jc w:val="center"/>
        <w:rPr>
          <w:rFonts w:ascii="Arial" w:eastAsia="Calibri" w:hAnsi="Arial" w:cs="Arial"/>
          <w:b/>
          <w:color w:val="212357"/>
          <w:sz w:val="40"/>
          <w:szCs w:val="40"/>
          <w:lang w:val="en-GB" w:eastAsia="hu-HU"/>
        </w:rPr>
      </w:pPr>
      <w:r w:rsidRPr="004B5FAE">
        <w:rPr>
          <w:rFonts w:ascii="Arial" w:eastAsia="Calibri" w:hAnsi="Arial" w:cs="Arial"/>
          <w:b/>
          <w:color w:val="212357"/>
          <w:sz w:val="40"/>
          <w:szCs w:val="40"/>
          <w:lang w:val="en-GB" w:eastAsia="hu-HU"/>
        </w:rPr>
        <w:t>Information on non-equity like instrument</w:t>
      </w:r>
    </w:p>
    <w:p w14:paraId="0F5DBDBE" w14:textId="4174E9CC" w:rsidR="0025186E" w:rsidRPr="004B5FAE" w:rsidRDefault="004B5FAE" w:rsidP="004B5FAE">
      <w:pPr>
        <w:pStyle w:val="lfej"/>
        <w:suppressAutoHyphens/>
        <w:spacing w:after="360" w:line="240" w:lineRule="atLeast"/>
        <w:jc w:val="center"/>
        <w:rPr>
          <w:rFonts w:ascii="Arial" w:eastAsia="Calibri" w:hAnsi="Arial" w:cs="Arial"/>
          <w:b/>
          <w:color w:val="212357"/>
          <w:sz w:val="40"/>
          <w:szCs w:val="40"/>
          <w:lang w:val="en-GB" w:eastAsia="hu-HU"/>
        </w:rPr>
      </w:pPr>
      <w:r w:rsidRPr="004B5FAE">
        <w:rPr>
          <w:rFonts w:ascii="Arial" w:eastAsia="Calibri" w:hAnsi="Arial" w:cs="Arial"/>
          <w:b/>
          <w:color w:val="212357"/>
          <w:sz w:val="40"/>
          <w:szCs w:val="40"/>
          <w:lang w:val="en-GB" w:eastAsia="hu-HU"/>
        </w:rPr>
        <w:t xml:space="preserve">without a liquid market listed on </w:t>
      </w:r>
      <w:r w:rsidRPr="004B5FAE">
        <w:rPr>
          <w:rFonts w:ascii="Arial" w:eastAsia="Calibri" w:hAnsi="Arial" w:cs="Arial"/>
          <w:b/>
          <w:color w:val="212357"/>
          <w:sz w:val="40"/>
          <w:szCs w:val="40"/>
          <w:lang w:val="en-GB" w:eastAsia="hu-HU"/>
        </w:rPr>
        <w:t>BSE</w:t>
      </w:r>
    </w:p>
    <w:p w14:paraId="1A44DE7E" w14:textId="3A90E3F4" w:rsidR="0025186E" w:rsidRPr="004B5FAE" w:rsidRDefault="004B5FAE" w:rsidP="0025186E">
      <w:pPr>
        <w:spacing w:after="600" w:line="280" w:lineRule="atLeast"/>
        <w:ind w:right="-1"/>
        <w:jc w:val="center"/>
        <w:rPr>
          <w:rFonts w:ascii="Arial" w:eastAsiaTheme="majorEastAsia" w:hAnsi="Arial" w:cs="Arial"/>
          <w:iCs/>
          <w:color w:val="232157"/>
          <w:spacing w:val="13"/>
          <w:sz w:val="32"/>
          <w:lang w:val="en-GB" w:eastAsia="hu-HU"/>
        </w:rPr>
      </w:pPr>
      <w:r>
        <w:rPr>
          <w:rFonts w:ascii="Arial" w:eastAsiaTheme="majorEastAsia" w:hAnsi="Arial" w:cs="Arial"/>
          <w:iCs/>
          <w:color w:val="232157"/>
          <w:spacing w:val="13"/>
          <w:sz w:val="32"/>
          <w:lang w:val="en-GB" w:eastAsia="hu-HU"/>
        </w:rPr>
        <w:t xml:space="preserve">BSE </w:t>
      </w:r>
      <w:r w:rsidRPr="004B5FAE">
        <w:rPr>
          <w:rFonts w:ascii="Arial" w:eastAsiaTheme="majorEastAsia" w:hAnsi="Arial" w:cs="Arial"/>
          <w:iCs/>
          <w:color w:val="232157"/>
          <w:spacing w:val="13"/>
          <w:sz w:val="32"/>
          <w:lang w:val="en-GB" w:eastAsia="hu-HU"/>
        </w:rPr>
        <w:t>Release</w:t>
      </w:r>
      <w:r w:rsidRPr="004B5FAE">
        <w:rPr>
          <w:rFonts w:ascii="Arial" w:eastAsiaTheme="majorEastAsia" w:hAnsi="Arial" w:cs="Arial"/>
          <w:iCs/>
          <w:color w:val="232157"/>
          <w:spacing w:val="13"/>
          <w:sz w:val="32"/>
          <w:lang w:val="en-GB" w:eastAsia="hu-HU"/>
        </w:rPr>
        <w:t xml:space="preserve"> </w:t>
      </w:r>
      <w:r>
        <w:rPr>
          <w:rFonts w:ascii="Arial" w:eastAsiaTheme="majorEastAsia" w:hAnsi="Arial" w:cs="Arial"/>
          <w:iCs/>
          <w:color w:val="232157"/>
          <w:spacing w:val="13"/>
          <w:sz w:val="32"/>
          <w:lang w:val="en-GB" w:eastAsia="hu-HU"/>
        </w:rPr>
        <w:t xml:space="preserve">- </w:t>
      </w:r>
      <w:r w:rsidRPr="004B5FAE">
        <w:rPr>
          <w:rFonts w:ascii="Arial" w:eastAsiaTheme="majorEastAsia" w:hAnsi="Arial" w:cs="Arial"/>
          <w:iCs/>
          <w:color w:val="232157"/>
          <w:spacing w:val="13"/>
          <w:sz w:val="32"/>
          <w:lang w:val="en-GB" w:eastAsia="hu-HU"/>
        </w:rPr>
        <w:t xml:space="preserve">Budapest, </w:t>
      </w:r>
      <w:r>
        <w:rPr>
          <w:rFonts w:ascii="Arial" w:eastAsiaTheme="majorEastAsia" w:hAnsi="Arial" w:cs="Arial"/>
          <w:iCs/>
          <w:color w:val="232157"/>
          <w:spacing w:val="13"/>
          <w:sz w:val="32"/>
          <w:lang w:val="en-GB" w:eastAsia="hu-HU"/>
        </w:rPr>
        <w:t>May</w:t>
      </w:r>
      <w:r w:rsidRPr="004B5FAE">
        <w:rPr>
          <w:rFonts w:ascii="Arial" w:eastAsiaTheme="majorEastAsia" w:hAnsi="Arial" w:cs="Arial"/>
          <w:iCs/>
          <w:color w:val="232157"/>
          <w:spacing w:val="13"/>
          <w:sz w:val="32"/>
          <w:lang w:val="en-GB" w:eastAsia="hu-HU"/>
        </w:rPr>
        <w:t xml:space="preserve"> </w:t>
      </w:r>
      <w:r>
        <w:rPr>
          <w:rFonts w:ascii="Arial" w:eastAsiaTheme="majorEastAsia" w:hAnsi="Arial" w:cs="Arial"/>
          <w:iCs/>
          <w:color w:val="232157"/>
          <w:spacing w:val="13"/>
          <w:sz w:val="32"/>
          <w:lang w:val="en-GB" w:eastAsia="hu-HU"/>
        </w:rPr>
        <w:t>11</w:t>
      </w:r>
      <w:r w:rsidRPr="004B5FAE">
        <w:rPr>
          <w:rFonts w:ascii="Arial" w:eastAsiaTheme="majorEastAsia" w:hAnsi="Arial" w:cs="Arial"/>
          <w:iCs/>
          <w:color w:val="232157"/>
          <w:spacing w:val="13"/>
          <w:sz w:val="32"/>
          <w:lang w:val="en-GB" w:eastAsia="hu-HU"/>
        </w:rPr>
        <w:t>, 201</w:t>
      </w:r>
      <w:r>
        <w:rPr>
          <w:rFonts w:ascii="Arial" w:eastAsiaTheme="majorEastAsia" w:hAnsi="Arial" w:cs="Arial"/>
          <w:iCs/>
          <w:color w:val="232157"/>
          <w:spacing w:val="13"/>
          <w:sz w:val="32"/>
          <w:lang w:val="en-GB" w:eastAsia="hu-HU"/>
        </w:rPr>
        <w:t>8</w:t>
      </w:r>
    </w:p>
    <w:p w14:paraId="073558B6" w14:textId="5C8D86A1" w:rsidR="004B5FAE" w:rsidRDefault="004B5FAE" w:rsidP="004B5FAE">
      <w:pPr>
        <w:suppressAutoHyphens/>
        <w:spacing w:line="280" w:lineRule="atLeast"/>
        <w:jc w:val="both"/>
        <w:rPr>
          <w:rFonts w:ascii="Arial" w:hAnsi="Arial" w:cs="Arial"/>
          <w:color w:val="232157" w:themeColor="accent1"/>
          <w:sz w:val="20"/>
          <w:szCs w:val="20"/>
          <w:lang w:val="en-GB"/>
        </w:rPr>
      </w:pPr>
      <w:r w:rsidRPr="004B5FAE">
        <w:rPr>
          <w:rFonts w:ascii="Arial" w:hAnsi="Arial" w:cs="Arial"/>
          <w:color w:val="232157" w:themeColor="accent1"/>
          <w:sz w:val="20"/>
          <w:szCs w:val="20"/>
          <w:lang w:val="en-GB"/>
        </w:rPr>
        <w:t xml:space="preserve">Budapest Stock Exchange Ltd. informs all investors that in </w:t>
      </w:r>
      <w:r w:rsidRPr="004B5FAE">
        <w:rPr>
          <w:rFonts w:ascii="Arial" w:hAnsi="Arial" w:cs="Arial"/>
          <w:color w:val="232157" w:themeColor="accent1"/>
          <w:sz w:val="20"/>
          <w:szCs w:val="20"/>
          <w:lang w:val="en-GB"/>
        </w:rPr>
        <w:t>accordance</w:t>
      </w:r>
      <w:r w:rsidRPr="004B5FAE">
        <w:rPr>
          <w:rFonts w:ascii="Arial" w:hAnsi="Arial" w:cs="Arial"/>
          <w:color w:val="232157" w:themeColor="accent1"/>
          <w:sz w:val="20"/>
          <w:szCs w:val="20"/>
          <w:lang w:val="en-GB"/>
        </w:rPr>
        <w:t xml:space="preserve"> with </w:t>
      </w:r>
      <w:r>
        <w:rPr>
          <w:rFonts w:ascii="Arial" w:hAnsi="Arial" w:cs="Arial"/>
          <w:color w:val="232157" w:themeColor="accent1"/>
          <w:sz w:val="20"/>
          <w:szCs w:val="20"/>
          <w:lang w:val="en-GB"/>
        </w:rPr>
        <w:t>Section</w:t>
      </w:r>
      <w:r w:rsidRPr="004B5FAE">
        <w:rPr>
          <w:rFonts w:ascii="Arial" w:hAnsi="Arial" w:cs="Arial"/>
          <w:color w:val="232157" w:themeColor="accent1"/>
          <w:sz w:val="20"/>
          <w:szCs w:val="20"/>
          <w:lang w:val="en-GB"/>
        </w:rPr>
        <w:t xml:space="preserve"> 2.4 of</w:t>
      </w:r>
      <w:r>
        <w:rPr>
          <w:rFonts w:ascii="Arial" w:hAnsi="Arial" w:cs="Arial"/>
          <w:color w:val="232157" w:themeColor="accent1"/>
          <w:sz w:val="20"/>
          <w:szCs w:val="20"/>
          <w:lang w:val="en-GB"/>
        </w:rPr>
        <w:t xml:space="preserve"> CEO</w:t>
      </w:r>
      <w:r w:rsidRPr="004B5FAE">
        <w:rPr>
          <w:rFonts w:ascii="Arial" w:hAnsi="Arial" w:cs="Arial"/>
          <w:color w:val="232157" w:themeColor="accent1"/>
          <w:sz w:val="20"/>
          <w:szCs w:val="20"/>
          <w:lang w:val="en-GB"/>
        </w:rPr>
        <w:t xml:space="preserve"> Resolution No.</w:t>
      </w:r>
      <w:r>
        <w:rPr>
          <w:rFonts w:ascii="Arial" w:hAnsi="Arial" w:cs="Arial"/>
          <w:color w:val="232157" w:themeColor="accent1"/>
          <w:sz w:val="20"/>
          <w:szCs w:val="20"/>
          <w:lang w:val="en-GB"/>
        </w:rPr>
        <w:t xml:space="preserve"> </w:t>
      </w:r>
      <w:r w:rsidRPr="004B5FAE">
        <w:rPr>
          <w:rFonts w:ascii="Arial" w:hAnsi="Arial" w:cs="Arial"/>
          <w:color w:val="232157" w:themeColor="accent1"/>
          <w:sz w:val="20"/>
          <w:szCs w:val="20"/>
          <w:lang w:val="en-GB"/>
        </w:rPr>
        <w:t xml:space="preserve">466/2017 (Pre-trade </w:t>
      </w:r>
      <w:r w:rsidRPr="004B5FAE">
        <w:rPr>
          <w:rFonts w:ascii="Arial" w:hAnsi="Arial" w:cs="Arial"/>
          <w:color w:val="232157" w:themeColor="accent1"/>
          <w:sz w:val="20"/>
          <w:szCs w:val="20"/>
          <w:lang w:val="en-GB"/>
        </w:rPr>
        <w:t>transparency</w:t>
      </w:r>
      <w:r w:rsidRPr="004B5FAE">
        <w:rPr>
          <w:rFonts w:ascii="Arial" w:hAnsi="Arial" w:cs="Arial"/>
          <w:color w:val="232157" w:themeColor="accent1"/>
          <w:sz w:val="20"/>
          <w:szCs w:val="20"/>
          <w:lang w:val="en-GB"/>
        </w:rPr>
        <w:t xml:space="preserve"> waivers applied by Budapest Stock Exchange) every Treasury bill,</w:t>
      </w:r>
      <w:r>
        <w:rPr>
          <w:rFonts w:ascii="Arial" w:hAnsi="Arial" w:cs="Arial"/>
          <w:color w:val="232157" w:themeColor="accent1"/>
          <w:sz w:val="20"/>
          <w:szCs w:val="20"/>
          <w:lang w:val="en-GB"/>
        </w:rPr>
        <w:t xml:space="preserve"> </w:t>
      </w:r>
      <w:r w:rsidRPr="004B5FAE">
        <w:rPr>
          <w:rFonts w:ascii="Arial" w:hAnsi="Arial" w:cs="Arial"/>
          <w:color w:val="232157" w:themeColor="accent1"/>
          <w:sz w:val="20"/>
          <w:szCs w:val="20"/>
          <w:lang w:val="en-GB"/>
        </w:rPr>
        <w:t xml:space="preserve">Government bond, Mortgage bond, </w:t>
      </w:r>
      <w:proofErr w:type="gramStart"/>
      <w:r w:rsidRPr="004B5FAE">
        <w:rPr>
          <w:rFonts w:ascii="Arial" w:hAnsi="Arial" w:cs="Arial"/>
          <w:color w:val="232157" w:themeColor="accent1"/>
          <w:sz w:val="20"/>
          <w:szCs w:val="20"/>
          <w:lang w:val="en-GB"/>
        </w:rPr>
        <w:t>Corporate</w:t>
      </w:r>
      <w:proofErr w:type="gramEnd"/>
      <w:r w:rsidRPr="004B5FAE">
        <w:rPr>
          <w:rFonts w:ascii="Arial" w:hAnsi="Arial" w:cs="Arial"/>
          <w:color w:val="232157" w:themeColor="accent1"/>
          <w:sz w:val="20"/>
          <w:szCs w:val="20"/>
          <w:lang w:val="en-GB"/>
        </w:rPr>
        <w:t xml:space="preserve"> bond, Turbo warrant listed on BSE are considered to be</w:t>
      </w:r>
      <w:r>
        <w:rPr>
          <w:rFonts w:ascii="Arial" w:hAnsi="Arial" w:cs="Arial"/>
          <w:color w:val="232157" w:themeColor="accent1"/>
          <w:sz w:val="20"/>
          <w:szCs w:val="20"/>
          <w:lang w:val="en-GB"/>
        </w:rPr>
        <w:t xml:space="preserve"> </w:t>
      </w:r>
      <w:r w:rsidRPr="004B5FAE">
        <w:rPr>
          <w:rFonts w:ascii="Arial" w:hAnsi="Arial" w:cs="Arial"/>
          <w:color w:val="232157" w:themeColor="accent1"/>
          <w:sz w:val="20"/>
          <w:szCs w:val="20"/>
          <w:lang w:val="en-GB"/>
        </w:rPr>
        <w:t>non-equity like instruments without a liquid market and as a result could be concluded in Negotiated</w:t>
      </w:r>
      <w:r>
        <w:rPr>
          <w:rFonts w:ascii="Arial" w:hAnsi="Arial" w:cs="Arial"/>
          <w:color w:val="232157" w:themeColor="accent1"/>
          <w:sz w:val="20"/>
          <w:szCs w:val="20"/>
          <w:lang w:val="en-GB"/>
        </w:rPr>
        <w:t xml:space="preserve"> </w:t>
      </w:r>
      <w:r w:rsidRPr="004B5FAE">
        <w:rPr>
          <w:rFonts w:ascii="Arial" w:hAnsi="Arial" w:cs="Arial"/>
          <w:color w:val="232157" w:themeColor="accent1"/>
          <w:sz w:val="20"/>
          <w:szCs w:val="20"/>
          <w:lang w:val="en-GB"/>
        </w:rPr>
        <w:t>transaction as defined by Chapter 6 of General Terms of Service.</w:t>
      </w:r>
    </w:p>
    <w:p w14:paraId="59011CF2" w14:textId="77777777" w:rsidR="004B5FAE" w:rsidRPr="004B5FAE" w:rsidRDefault="004B5FAE" w:rsidP="004B5FAE">
      <w:pPr>
        <w:suppressAutoHyphens/>
        <w:spacing w:line="280" w:lineRule="atLeast"/>
        <w:jc w:val="both"/>
        <w:rPr>
          <w:rFonts w:ascii="Arial" w:hAnsi="Arial" w:cs="Arial"/>
          <w:color w:val="232157" w:themeColor="accent1"/>
          <w:sz w:val="20"/>
          <w:szCs w:val="20"/>
          <w:lang w:val="en-GB"/>
        </w:rPr>
      </w:pPr>
    </w:p>
    <w:p w14:paraId="5695EB66" w14:textId="51B3442A" w:rsidR="00A02179" w:rsidRPr="004B5FAE" w:rsidRDefault="004B5FAE" w:rsidP="004B5FAE">
      <w:pPr>
        <w:suppressAutoHyphens/>
        <w:spacing w:line="280" w:lineRule="atLeast"/>
        <w:jc w:val="both"/>
        <w:rPr>
          <w:rFonts w:ascii="Arial" w:hAnsi="Arial" w:cs="Arial"/>
          <w:color w:val="232157" w:themeColor="accent1"/>
          <w:sz w:val="20"/>
          <w:szCs w:val="20"/>
          <w:lang w:val="en-GB"/>
        </w:rPr>
      </w:pPr>
      <w:r w:rsidRPr="004B5FAE">
        <w:rPr>
          <w:rFonts w:ascii="Arial" w:hAnsi="Arial" w:cs="Arial"/>
          <w:color w:val="232157" w:themeColor="accent1"/>
          <w:sz w:val="20"/>
          <w:szCs w:val="20"/>
          <w:lang w:val="en-GB"/>
        </w:rPr>
        <w:t>Based on ESMA calculation</w:t>
      </w:r>
      <w:r w:rsidR="00894753">
        <w:rPr>
          <w:rFonts w:ascii="Arial" w:hAnsi="Arial" w:cs="Arial"/>
          <w:color w:val="232157" w:themeColor="accent1"/>
          <w:sz w:val="20"/>
          <w:szCs w:val="20"/>
          <w:lang w:val="en-GB"/>
        </w:rPr>
        <w:t>s</w:t>
      </w:r>
      <w:r w:rsidRPr="004B5FAE">
        <w:rPr>
          <w:rFonts w:ascii="Arial" w:hAnsi="Arial" w:cs="Arial"/>
          <w:color w:val="232157" w:themeColor="accent1"/>
          <w:sz w:val="20"/>
          <w:szCs w:val="20"/>
          <w:lang w:val="en-GB"/>
        </w:rPr>
        <w:t xml:space="preserve"> published on </w:t>
      </w:r>
      <w:r w:rsidR="00A926DD">
        <w:rPr>
          <w:rFonts w:ascii="Arial" w:hAnsi="Arial" w:cs="Arial"/>
          <w:color w:val="232157" w:themeColor="accent1"/>
          <w:sz w:val="20"/>
          <w:szCs w:val="20"/>
          <w:lang w:val="en-GB"/>
        </w:rPr>
        <w:t>2</w:t>
      </w:r>
      <w:r w:rsidRPr="004B5FAE">
        <w:rPr>
          <w:rFonts w:ascii="Arial" w:hAnsi="Arial" w:cs="Arial"/>
          <w:color w:val="232157" w:themeColor="accent1"/>
          <w:sz w:val="20"/>
          <w:szCs w:val="20"/>
          <w:lang w:val="en-GB"/>
        </w:rPr>
        <w:t xml:space="preserve"> </w:t>
      </w:r>
      <w:r w:rsidR="00A926DD">
        <w:rPr>
          <w:rFonts w:ascii="Arial" w:hAnsi="Arial" w:cs="Arial"/>
          <w:color w:val="232157" w:themeColor="accent1"/>
          <w:sz w:val="20"/>
          <w:szCs w:val="20"/>
          <w:lang w:val="en-GB"/>
        </w:rPr>
        <w:t>May</w:t>
      </w:r>
      <w:r w:rsidRPr="004B5FAE">
        <w:rPr>
          <w:rFonts w:ascii="Arial" w:hAnsi="Arial" w:cs="Arial"/>
          <w:color w:val="232157" w:themeColor="accent1"/>
          <w:sz w:val="20"/>
          <w:szCs w:val="20"/>
          <w:lang w:val="en-GB"/>
        </w:rPr>
        <w:t xml:space="preserve"> 201</w:t>
      </w:r>
      <w:r w:rsidR="00A926DD">
        <w:rPr>
          <w:rFonts w:ascii="Arial" w:hAnsi="Arial" w:cs="Arial"/>
          <w:color w:val="232157" w:themeColor="accent1"/>
          <w:sz w:val="20"/>
          <w:szCs w:val="20"/>
          <w:lang w:val="en-GB"/>
        </w:rPr>
        <w:t>8,</w:t>
      </w:r>
      <w:r w:rsidRPr="004B5FAE">
        <w:rPr>
          <w:rFonts w:ascii="Arial" w:hAnsi="Arial" w:cs="Arial"/>
          <w:color w:val="232157" w:themeColor="accent1"/>
          <w:sz w:val="20"/>
          <w:szCs w:val="20"/>
          <w:lang w:val="en-GB"/>
        </w:rPr>
        <w:t xml:space="preserve"> </w:t>
      </w:r>
      <w:r w:rsidR="00894753">
        <w:rPr>
          <w:rFonts w:ascii="Arial" w:hAnsi="Arial" w:cs="Arial"/>
          <w:color w:val="232157" w:themeColor="accent1"/>
          <w:sz w:val="20"/>
          <w:szCs w:val="20"/>
          <w:lang w:val="en-GB"/>
        </w:rPr>
        <w:t>no bond is listed on BSE which has</w:t>
      </w:r>
      <w:r w:rsidRPr="004B5FAE">
        <w:rPr>
          <w:rFonts w:ascii="Arial" w:hAnsi="Arial" w:cs="Arial"/>
          <w:color w:val="232157" w:themeColor="accent1"/>
          <w:sz w:val="20"/>
          <w:szCs w:val="20"/>
          <w:lang w:val="en-GB"/>
        </w:rPr>
        <w:t xml:space="preserve"> liquid market as specified by MiFID II</w:t>
      </w:r>
      <w:r w:rsidR="00894753">
        <w:rPr>
          <w:rFonts w:ascii="Arial" w:hAnsi="Arial" w:cs="Arial"/>
          <w:color w:val="232157" w:themeColor="accent1"/>
          <w:sz w:val="20"/>
          <w:szCs w:val="20"/>
          <w:lang w:val="en-GB"/>
        </w:rPr>
        <w:t>, for the first quarter of 2018</w:t>
      </w:r>
      <w:r w:rsidRPr="004B5FAE">
        <w:rPr>
          <w:rFonts w:ascii="Arial" w:hAnsi="Arial" w:cs="Arial"/>
          <w:color w:val="232157" w:themeColor="accent1"/>
          <w:sz w:val="20"/>
          <w:szCs w:val="20"/>
          <w:lang w:val="en-GB"/>
        </w:rPr>
        <w:t xml:space="preserve">. In the future BSE will </w:t>
      </w:r>
      <w:r w:rsidR="00A926DD" w:rsidRPr="004B5FAE">
        <w:rPr>
          <w:rFonts w:ascii="Arial" w:hAnsi="Arial" w:cs="Arial"/>
          <w:color w:val="232157" w:themeColor="accent1"/>
          <w:sz w:val="20"/>
          <w:szCs w:val="20"/>
          <w:lang w:val="en-GB"/>
        </w:rPr>
        <w:t>continuously</w:t>
      </w:r>
      <w:r w:rsidRPr="004B5FAE">
        <w:rPr>
          <w:rFonts w:ascii="Arial" w:hAnsi="Arial" w:cs="Arial"/>
          <w:color w:val="232157" w:themeColor="accent1"/>
          <w:sz w:val="20"/>
          <w:szCs w:val="20"/>
          <w:lang w:val="en-GB"/>
        </w:rPr>
        <w:t xml:space="preserve"> review</w:t>
      </w:r>
      <w:r>
        <w:rPr>
          <w:rFonts w:ascii="Arial" w:hAnsi="Arial" w:cs="Arial"/>
          <w:color w:val="232157" w:themeColor="accent1"/>
          <w:sz w:val="20"/>
          <w:szCs w:val="20"/>
          <w:lang w:val="en-GB"/>
        </w:rPr>
        <w:t xml:space="preserve"> </w:t>
      </w:r>
      <w:r w:rsidRPr="004B5FAE">
        <w:rPr>
          <w:rFonts w:ascii="Arial" w:hAnsi="Arial" w:cs="Arial"/>
          <w:color w:val="232157" w:themeColor="accent1"/>
          <w:sz w:val="20"/>
          <w:szCs w:val="20"/>
          <w:lang w:val="en-GB"/>
        </w:rPr>
        <w:t>the list of non-equity like instruments without a liquid market and make decision on the possibility of</w:t>
      </w:r>
      <w:r>
        <w:rPr>
          <w:rFonts w:ascii="Arial" w:hAnsi="Arial" w:cs="Arial"/>
          <w:color w:val="232157" w:themeColor="accent1"/>
          <w:sz w:val="20"/>
          <w:szCs w:val="20"/>
          <w:lang w:val="en-GB"/>
        </w:rPr>
        <w:t xml:space="preserve"> </w:t>
      </w:r>
      <w:r w:rsidRPr="004B5FAE">
        <w:rPr>
          <w:rFonts w:ascii="Arial" w:hAnsi="Arial" w:cs="Arial"/>
          <w:color w:val="232157" w:themeColor="accent1"/>
          <w:sz w:val="20"/>
          <w:szCs w:val="20"/>
          <w:lang w:val="en-GB"/>
        </w:rPr>
        <w:t>concluding Negotiated transactions for a given instrument based on ESMA calculations.</w:t>
      </w:r>
    </w:p>
    <w:sectPr w:rsidR="00A02179" w:rsidRPr="004B5FAE" w:rsidSect="0058794C">
      <w:headerReference w:type="default" r:id="rId8"/>
      <w:footerReference w:type="default" r:id="rId9"/>
      <w:pgSz w:w="11906" w:h="16838"/>
      <w:pgMar w:top="2376" w:right="1134" w:bottom="1701" w:left="1134" w:header="709" w:footer="448" w:gutter="0"/>
      <w:cols w:space="708" w:equalWidth="0">
        <w:col w:w="9354" w:space="2"/>
      </w:cols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87982E6" w14:textId="77777777" w:rsidR="00BC0AF1" w:rsidRDefault="00BC0AF1">
      <w:r>
        <w:separator/>
      </w:r>
    </w:p>
  </w:endnote>
  <w:endnote w:type="continuationSeparator" w:id="0">
    <w:p w14:paraId="0AC7BDF9" w14:textId="77777777" w:rsidR="00BC0AF1" w:rsidRDefault="00BC0A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D1ACD13" w14:textId="77777777" w:rsidR="00DA0033" w:rsidRPr="0058794C" w:rsidRDefault="0058794C" w:rsidP="0058794C">
    <w:pPr>
      <w:pStyle w:val="llb"/>
      <w:rPr>
        <w:szCs w:val="15"/>
      </w:rPr>
    </w:pPr>
    <w:r w:rsidRPr="0058794C">
      <w:rPr>
        <w:noProof/>
        <w:szCs w:val="15"/>
        <w:lang w:val="hu-HU" w:eastAsia="hu-HU"/>
      </w:rPr>
      <w:drawing>
        <wp:anchor distT="0" distB="0" distL="114300" distR="114300" simplePos="0" relativeHeight="251661312" behindDoc="1" locked="0" layoutInCell="1" allowOverlap="1" wp14:anchorId="102D3EE6" wp14:editId="32D2BA9F">
          <wp:simplePos x="0" y="0"/>
          <wp:positionH relativeFrom="column">
            <wp:posOffset>1137920</wp:posOffset>
          </wp:positionH>
          <wp:positionV relativeFrom="paragraph">
            <wp:posOffset>34925</wp:posOffset>
          </wp:positionV>
          <wp:extent cx="3467100" cy="113665"/>
          <wp:effectExtent l="0" t="0" r="0" b="635"/>
          <wp:wrapNone/>
          <wp:docPr id="4" name="Kép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oot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67405" cy="1140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F6FC9EF" w14:textId="77777777" w:rsidR="00BC0AF1" w:rsidRDefault="00BC0AF1">
      <w:r>
        <w:separator/>
      </w:r>
    </w:p>
  </w:footnote>
  <w:footnote w:type="continuationSeparator" w:id="0">
    <w:p w14:paraId="35619A17" w14:textId="77777777" w:rsidR="00BC0AF1" w:rsidRDefault="00BC0A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0DD243" w14:textId="77777777" w:rsidR="00DA0033" w:rsidRDefault="00DA0033" w:rsidP="00740E31">
    <w:pPr>
      <w:pStyle w:val="lfej"/>
      <w:spacing w:line="240" w:lineRule="atLeast"/>
      <w:ind w:right="153"/>
    </w:pPr>
    <w:r>
      <w:t xml:space="preserve"> </w:t>
    </w:r>
    <w:r w:rsidR="0058794C" w:rsidRPr="0058794C">
      <w:rPr>
        <w:noProof/>
        <w:lang w:val="hu-HU" w:eastAsia="hu-HU"/>
      </w:rPr>
      <w:drawing>
        <wp:anchor distT="0" distB="0" distL="114300" distR="114300" simplePos="0" relativeHeight="251659264" behindDoc="0" locked="0" layoutInCell="1" allowOverlap="1" wp14:anchorId="45982212" wp14:editId="785FD9A3">
          <wp:simplePos x="0" y="0"/>
          <wp:positionH relativeFrom="margin">
            <wp:align>center</wp:align>
          </wp:positionH>
          <wp:positionV relativeFrom="paragraph">
            <wp:posOffset>-135890</wp:posOffset>
          </wp:positionV>
          <wp:extent cx="798830" cy="798830"/>
          <wp:effectExtent l="0" t="0" r="1270" b="1270"/>
          <wp:wrapNone/>
          <wp:docPr id="2" name="Kép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ÉT-logó-RGB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9200" cy="799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0B483FF1" w14:textId="77777777" w:rsidR="00DA0033" w:rsidRPr="00B07FDC" w:rsidRDefault="00DA0033" w:rsidP="00740E31">
    <w:pPr>
      <w:pStyle w:val="lfej"/>
      <w:spacing w:line="240" w:lineRule="atLeast"/>
      <w:ind w:right="153"/>
      <w:rPr>
        <w:rFonts w:ascii="Arial" w:hAnsi="Arial" w:cs="Arial"/>
        <w:b/>
        <w:noProof/>
        <w:color w:val="D10005"/>
        <w:sz w:val="20"/>
        <w:szCs w:val="20"/>
        <w:lang w:val="hu-HU" w:eastAsia="hu-HU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2445C1E"/>
    <w:multiLevelType w:val="hybridMultilevel"/>
    <w:tmpl w:val="87F075BE"/>
    <w:lvl w:ilvl="0" w:tplc="040E0013">
      <w:start w:val="1"/>
      <w:numFmt w:val="upperRoman"/>
      <w:lvlText w:val="%1."/>
      <w:lvlJc w:val="righ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B56BE7"/>
    <w:multiLevelType w:val="singleLevel"/>
    <w:tmpl w:val="FFB8D714"/>
    <w:lvl w:ilvl="0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b w:val="0"/>
        <w:i w:val="0"/>
        <w:caps w:val="0"/>
        <w:strike w:val="0"/>
        <w:dstrike w:val="0"/>
        <w:outline w:val="0"/>
        <w:shadow w:val="0"/>
        <w:emboss w:val="0"/>
        <w:imprint w:val="0"/>
        <w:vanish w:val="0"/>
        <w:color w:val="999999"/>
        <w:sz w:val="20"/>
        <w:szCs w:val="20"/>
        <w:u w:color="999999"/>
        <w:vertAlign w:val="baseline"/>
      </w:rPr>
    </w:lvl>
  </w:abstractNum>
  <w:abstractNum w:abstractNumId="2" w15:restartNumberingAfterBreak="0">
    <w:nsid w:val="1F66476C"/>
    <w:multiLevelType w:val="hybridMultilevel"/>
    <w:tmpl w:val="D8C489A2"/>
    <w:lvl w:ilvl="0" w:tplc="FFB8D714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  <w:i w:val="0"/>
        <w:color w:val="999999"/>
        <w:u w:color="999999"/>
      </w:rPr>
    </w:lvl>
    <w:lvl w:ilvl="1" w:tplc="0C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Marlet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Marlett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Marlett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1904591"/>
    <w:multiLevelType w:val="hybridMultilevel"/>
    <w:tmpl w:val="08C48954"/>
    <w:lvl w:ilvl="0" w:tplc="FFB8D714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  <w:i w:val="0"/>
        <w:color w:val="999999"/>
        <w:u w:color="999999"/>
      </w:rPr>
    </w:lvl>
    <w:lvl w:ilvl="1" w:tplc="0C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Marlet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Marlett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Marlett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777457"/>
    <w:multiLevelType w:val="hybridMultilevel"/>
    <w:tmpl w:val="21D8B638"/>
    <w:lvl w:ilvl="0" w:tplc="8D128F44"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eastAsia="Times New Roman" w:hAnsi="Wingdings" w:cs="Marlett" w:hint="default"/>
      </w:rPr>
    </w:lvl>
    <w:lvl w:ilvl="1" w:tplc="0C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Marlet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Marlett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Marlett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CA71FFA"/>
    <w:multiLevelType w:val="multilevel"/>
    <w:tmpl w:val="BD7257A6"/>
    <w:lvl w:ilvl="0">
      <w:start w:val="1"/>
      <w:numFmt w:val="bullet"/>
      <w:pStyle w:val="Numerationlevel1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  <w:i w:val="0"/>
        <w:caps w:val="0"/>
        <w:strike w:val="0"/>
        <w:dstrike w:val="0"/>
        <w:vanish w:val="0"/>
        <w:color w:val="D10005"/>
        <w:u w:color="C0C0C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/>
        <w:color w:val="D9D9D9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6" w15:restartNumberingAfterBreak="0">
    <w:nsid w:val="46E63AA2"/>
    <w:multiLevelType w:val="hybridMultilevel"/>
    <w:tmpl w:val="2006D444"/>
    <w:lvl w:ilvl="0" w:tplc="FFB8D714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  <w:i w:val="0"/>
        <w:caps w:val="0"/>
        <w:strike w:val="0"/>
        <w:dstrike w:val="0"/>
        <w:vanish w:val="0"/>
        <w:color w:val="999999"/>
        <w:sz w:val="20"/>
        <w:szCs w:val="20"/>
        <w:u w:color="999999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C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Marlet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Marlett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Marlett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8114463"/>
    <w:multiLevelType w:val="hybridMultilevel"/>
    <w:tmpl w:val="B16AB1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E325F58"/>
    <w:multiLevelType w:val="hybridMultilevel"/>
    <w:tmpl w:val="80BC2E3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7EB67EE"/>
    <w:multiLevelType w:val="hybridMultilevel"/>
    <w:tmpl w:val="D236075E"/>
    <w:lvl w:ilvl="0" w:tplc="736A4558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  <w:i w:val="0"/>
        <w:caps w:val="0"/>
        <w:strike w:val="0"/>
        <w:dstrike w:val="0"/>
        <w:vanish w:val="0"/>
        <w:color w:val="auto"/>
        <w:sz w:val="20"/>
        <w:szCs w:val="20"/>
        <w:u w:color="999999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C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Marlet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Marlett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Marlett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A574C48"/>
    <w:multiLevelType w:val="multilevel"/>
    <w:tmpl w:val="21D8B638"/>
    <w:lvl w:ilvl="0"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eastAsia="Times New Roman" w:hAnsi="Wingdings" w:cs="Marlett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Marlett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Marlett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Marlett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C6661E5"/>
    <w:multiLevelType w:val="hybridMultilevel"/>
    <w:tmpl w:val="77F0B42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EE76761"/>
    <w:multiLevelType w:val="multilevel"/>
    <w:tmpl w:val="D236075E"/>
    <w:lvl w:ilvl="0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  <w:i w:val="0"/>
        <w:caps w:val="0"/>
        <w:strike w:val="0"/>
        <w:dstrike w:val="0"/>
        <w:vanish w:val="0"/>
        <w:color w:val="auto"/>
        <w:sz w:val="20"/>
        <w:szCs w:val="20"/>
        <w:u w:color="999999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Marlett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Marlett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Marlett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74138BB"/>
    <w:multiLevelType w:val="hybridMultilevel"/>
    <w:tmpl w:val="AE684856"/>
    <w:lvl w:ilvl="0" w:tplc="8D128F44"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eastAsia="Times New Roman" w:hAnsi="Wingdings" w:cs="Marlett" w:hint="default"/>
      </w:rPr>
    </w:lvl>
    <w:lvl w:ilvl="1" w:tplc="0C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Marlet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Marlett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Marlett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BB0576B"/>
    <w:multiLevelType w:val="hybridMultilevel"/>
    <w:tmpl w:val="EEB88B88"/>
    <w:lvl w:ilvl="0" w:tplc="46848912">
      <w:start w:val="1"/>
      <w:numFmt w:val="bullet"/>
      <w:lvlText w:val=""/>
      <w:lvlJc w:val="left"/>
      <w:pPr>
        <w:tabs>
          <w:tab w:val="num" w:pos="720"/>
        </w:tabs>
        <w:ind w:left="720" w:hanging="360"/>
      </w:pPr>
      <w:rPr>
        <w:rFonts w:ascii="Marlett" w:hAnsi="Marlett" w:hint="default"/>
        <w:color w:val="auto"/>
      </w:rPr>
    </w:lvl>
    <w:lvl w:ilvl="1" w:tplc="0C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Marlet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Marlett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Marlett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F0948D1"/>
    <w:multiLevelType w:val="hybridMultilevel"/>
    <w:tmpl w:val="99CA84F2"/>
    <w:lvl w:ilvl="0" w:tplc="8368D6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FDE3C2E"/>
    <w:multiLevelType w:val="hybridMultilevel"/>
    <w:tmpl w:val="952EA96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3"/>
  </w:num>
  <w:num w:numId="3">
    <w:abstractNumId w:val="4"/>
  </w:num>
  <w:num w:numId="4">
    <w:abstractNumId w:val="10"/>
  </w:num>
  <w:num w:numId="5">
    <w:abstractNumId w:val="2"/>
  </w:num>
  <w:num w:numId="6">
    <w:abstractNumId w:val="9"/>
  </w:num>
  <w:num w:numId="7">
    <w:abstractNumId w:val="15"/>
  </w:num>
  <w:num w:numId="8">
    <w:abstractNumId w:val="12"/>
  </w:num>
  <w:num w:numId="9">
    <w:abstractNumId w:val="6"/>
  </w:num>
  <w:num w:numId="10">
    <w:abstractNumId w:val="14"/>
  </w:num>
  <w:num w:numId="11">
    <w:abstractNumId w:val="5"/>
  </w:num>
  <w:num w:numId="12">
    <w:abstractNumId w:val="5"/>
  </w:num>
  <w:num w:numId="13">
    <w:abstractNumId w:val="1"/>
  </w:num>
  <w:num w:numId="14">
    <w:abstractNumId w:val="0"/>
  </w:num>
  <w:num w:numId="15">
    <w:abstractNumId w:val="16"/>
  </w:num>
  <w:num w:numId="16">
    <w:abstractNumId w:val="8"/>
  </w:num>
  <w:num w:numId="17">
    <w:abstractNumId w:val="11"/>
  </w:num>
  <w:num w:numId="1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autoHyphenation/>
  <w:hyphenationZone w:val="425"/>
  <w:characterSpacingControl w:val="doNotCompress"/>
  <w:hdrShapeDefaults>
    <o:shapedefaults v:ext="edit" spidmax="16385" fill="f" fillcolor="white" stroke="f">
      <v:fill color="white" on="f"/>
      <v:stroke on="f"/>
      <v:shadow color="black" opacity="49151f" offset=".74833mm,.74833mm"/>
      <o:colormru v:ext="edit" colors="#ccf,#ccccd5,#eaeaea,#b50e20,#d1001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60E9"/>
    <w:rsid w:val="00005618"/>
    <w:rsid w:val="000222A4"/>
    <w:rsid w:val="0002722B"/>
    <w:rsid w:val="00033AC2"/>
    <w:rsid w:val="00033EC9"/>
    <w:rsid w:val="00033F4F"/>
    <w:rsid w:val="00043AC0"/>
    <w:rsid w:val="0006246E"/>
    <w:rsid w:val="00065794"/>
    <w:rsid w:val="00065EAC"/>
    <w:rsid w:val="00067A6C"/>
    <w:rsid w:val="00070C5A"/>
    <w:rsid w:val="00075C29"/>
    <w:rsid w:val="00091313"/>
    <w:rsid w:val="000B1254"/>
    <w:rsid w:val="000B4E93"/>
    <w:rsid w:val="000B5126"/>
    <w:rsid w:val="000B5BA4"/>
    <w:rsid w:val="000C3274"/>
    <w:rsid w:val="000C66A4"/>
    <w:rsid w:val="000D0CFC"/>
    <w:rsid w:val="000D2D1C"/>
    <w:rsid w:val="000D32CC"/>
    <w:rsid w:val="000E2CBA"/>
    <w:rsid w:val="0013170A"/>
    <w:rsid w:val="001330CB"/>
    <w:rsid w:val="00144E50"/>
    <w:rsid w:val="001507BA"/>
    <w:rsid w:val="00180D94"/>
    <w:rsid w:val="00193834"/>
    <w:rsid w:val="00196937"/>
    <w:rsid w:val="001A1732"/>
    <w:rsid w:val="001A3D92"/>
    <w:rsid w:val="001A495C"/>
    <w:rsid w:val="001A72AF"/>
    <w:rsid w:val="001B0102"/>
    <w:rsid w:val="001C344F"/>
    <w:rsid w:val="001C3EEE"/>
    <w:rsid w:val="001C70FE"/>
    <w:rsid w:val="001D438C"/>
    <w:rsid w:val="001E7655"/>
    <w:rsid w:val="001F2BD4"/>
    <w:rsid w:val="001F52DF"/>
    <w:rsid w:val="001F5350"/>
    <w:rsid w:val="001F79CF"/>
    <w:rsid w:val="00201115"/>
    <w:rsid w:val="0020132C"/>
    <w:rsid w:val="002013A9"/>
    <w:rsid w:val="0020229E"/>
    <w:rsid w:val="00203118"/>
    <w:rsid w:val="00203B68"/>
    <w:rsid w:val="0020431A"/>
    <w:rsid w:val="00214462"/>
    <w:rsid w:val="00214793"/>
    <w:rsid w:val="002229C5"/>
    <w:rsid w:val="00226657"/>
    <w:rsid w:val="00237FB3"/>
    <w:rsid w:val="00243007"/>
    <w:rsid w:val="00244450"/>
    <w:rsid w:val="0025186E"/>
    <w:rsid w:val="002729C7"/>
    <w:rsid w:val="002843E2"/>
    <w:rsid w:val="002900A3"/>
    <w:rsid w:val="00295B49"/>
    <w:rsid w:val="002A2927"/>
    <w:rsid w:val="002A4D2D"/>
    <w:rsid w:val="002B2195"/>
    <w:rsid w:val="002B585E"/>
    <w:rsid w:val="002C0597"/>
    <w:rsid w:val="002C4B4F"/>
    <w:rsid w:val="002D5B39"/>
    <w:rsid w:val="002E0927"/>
    <w:rsid w:val="002E4FC4"/>
    <w:rsid w:val="002F0B03"/>
    <w:rsid w:val="003047E1"/>
    <w:rsid w:val="00310E4B"/>
    <w:rsid w:val="00320C04"/>
    <w:rsid w:val="00320FC7"/>
    <w:rsid w:val="003309F1"/>
    <w:rsid w:val="00330E2B"/>
    <w:rsid w:val="00344ED0"/>
    <w:rsid w:val="0034668E"/>
    <w:rsid w:val="003633DD"/>
    <w:rsid w:val="0037313A"/>
    <w:rsid w:val="003B3F78"/>
    <w:rsid w:val="003B55EB"/>
    <w:rsid w:val="003B74BE"/>
    <w:rsid w:val="003C1F85"/>
    <w:rsid w:val="003F78FA"/>
    <w:rsid w:val="004021F9"/>
    <w:rsid w:val="00406BFB"/>
    <w:rsid w:val="00414DF3"/>
    <w:rsid w:val="00415B98"/>
    <w:rsid w:val="00451563"/>
    <w:rsid w:val="00451DAA"/>
    <w:rsid w:val="0045793A"/>
    <w:rsid w:val="00462500"/>
    <w:rsid w:val="0047022A"/>
    <w:rsid w:val="00483D08"/>
    <w:rsid w:val="00487F72"/>
    <w:rsid w:val="004976CA"/>
    <w:rsid w:val="004A7AC3"/>
    <w:rsid w:val="004B26C9"/>
    <w:rsid w:val="004B5FAE"/>
    <w:rsid w:val="004D15F6"/>
    <w:rsid w:val="004D1EED"/>
    <w:rsid w:val="004D4E2D"/>
    <w:rsid w:val="004F283E"/>
    <w:rsid w:val="004F7C56"/>
    <w:rsid w:val="00522C7F"/>
    <w:rsid w:val="00532306"/>
    <w:rsid w:val="005464D3"/>
    <w:rsid w:val="00563364"/>
    <w:rsid w:val="00574E1B"/>
    <w:rsid w:val="005804C3"/>
    <w:rsid w:val="00583D5E"/>
    <w:rsid w:val="00584079"/>
    <w:rsid w:val="00584D18"/>
    <w:rsid w:val="0058794C"/>
    <w:rsid w:val="00592184"/>
    <w:rsid w:val="00596426"/>
    <w:rsid w:val="005A0A3A"/>
    <w:rsid w:val="005A55B6"/>
    <w:rsid w:val="005B73A8"/>
    <w:rsid w:val="005C4B95"/>
    <w:rsid w:val="005C60E9"/>
    <w:rsid w:val="005C7900"/>
    <w:rsid w:val="005D1387"/>
    <w:rsid w:val="005D3431"/>
    <w:rsid w:val="005E1FA5"/>
    <w:rsid w:val="005E7CC3"/>
    <w:rsid w:val="005F0558"/>
    <w:rsid w:val="00601EB5"/>
    <w:rsid w:val="006041D0"/>
    <w:rsid w:val="00605C01"/>
    <w:rsid w:val="00610844"/>
    <w:rsid w:val="00613DC8"/>
    <w:rsid w:val="00621781"/>
    <w:rsid w:val="006310B5"/>
    <w:rsid w:val="00636063"/>
    <w:rsid w:val="00641A27"/>
    <w:rsid w:val="006429A7"/>
    <w:rsid w:val="00652B1D"/>
    <w:rsid w:val="00673156"/>
    <w:rsid w:val="00695650"/>
    <w:rsid w:val="0069642D"/>
    <w:rsid w:val="00697FA1"/>
    <w:rsid w:val="006A006E"/>
    <w:rsid w:val="006A59CF"/>
    <w:rsid w:val="006B026C"/>
    <w:rsid w:val="006C0A5F"/>
    <w:rsid w:val="006D5154"/>
    <w:rsid w:val="006D76DB"/>
    <w:rsid w:val="006F174A"/>
    <w:rsid w:val="006F4AAA"/>
    <w:rsid w:val="00705B18"/>
    <w:rsid w:val="007109D2"/>
    <w:rsid w:val="007119DB"/>
    <w:rsid w:val="00711EB6"/>
    <w:rsid w:val="007175BE"/>
    <w:rsid w:val="00717706"/>
    <w:rsid w:val="0072176A"/>
    <w:rsid w:val="0072291A"/>
    <w:rsid w:val="0072747F"/>
    <w:rsid w:val="00727DD8"/>
    <w:rsid w:val="00740582"/>
    <w:rsid w:val="00740E31"/>
    <w:rsid w:val="00752285"/>
    <w:rsid w:val="0076024C"/>
    <w:rsid w:val="00780830"/>
    <w:rsid w:val="00794049"/>
    <w:rsid w:val="007A4C15"/>
    <w:rsid w:val="007B28F5"/>
    <w:rsid w:val="007B2BCC"/>
    <w:rsid w:val="007B36BC"/>
    <w:rsid w:val="007B5DB9"/>
    <w:rsid w:val="007B622C"/>
    <w:rsid w:val="007C4021"/>
    <w:rsid w:val="007C6157"/>
    <w:rsid w:val="007D37CF"/>
    <w:rsid w:val="007E0D09"/>
    <w:rsid w:val="008002BE"/>
    <w:rsid w:val="008060AC"/>
    <w:rsid w:val="00811432"/>
    <w:rsid w:val="00827743"/>
    <w:rsid w:val="008336FD"/>
    <w:rsid w:val="0083642B"/>
    <w:rsid w:val="0084025B"/>
    <w:rsid w:val="008515D4"/>
    <w:rsid w:val="00853BF7"/>
    <w:rsid w:val="00854BFE"/>
    <w:rsid w:val="00894753"/>
    <w:rsid w:val="008A5C81"/>
    <w:rsid w:val="008B11B8"/>
    <w:rsid w:val="008B35A6"/>
    <w:rsid w:val="008B3769"/>
    <w:rsid w:val="008C0D28"/>
    <w:rsid w:val="008E0A6B"/>
    <w:rsid w:val="00902541"/>
    <w:rsid w:val="00903C92"/>
    <w:rsid w:val="00906CDD"/>
    <w:rsid w:val="009267AC"/>
    <w:rsid w:val="00932D6F"/>
    <w:rsid w:val="00937F3E"/>
    <w:rsid w:val="009411A8"/>
    <w:rsid w:val="00944964"/>
    <w:rsid w:val="009455CE"/>
    <w:rsid w:val="009603CB"/>
    <w:rsid w:val="00971773"/>
    <w:rsid w:val="00992BD8"/>
    <w:rsid w:val="00995910"/>
    <w:rsid w:val="00995C9D"/>
    <w:rsid w:val="009A6B19"/>
    <w:rsid w:val="009B6BB7"/>
    <w:rsid w:val="009B79AC"/>
    <w:rsid w:val="009C0FDC"/>
    <w:rsid w:val="009D0CC2"/>
    <w:rsid w:val="009E3DFB"/>
    <w:rsid w:val="009F07A7"/>
    <w:rsid w:val="009F23DB"/>
    <w:rsid w:val="009F4BC5"/>
    <w:rsid w:val="009F72A6"/>
    <w:rsid w:val="00A02179"/>
    <w:rsid w:val="00A17531"/>
    <w:rsid w:val="00A20A81"/>
    <w:rsid w:val="00A21569"/>
    <w:rsid w:val="00A248E1"/>
    <w:rsid w:val="00A51717"/>
    <w:rsid w:val="00A75593"/>
    <w:rsid w:val="00A76953"/>
    <w:rsid w:val="00A926DD"/>
    <w:rsid w:val="00AB41F8"/>
    <w:rsid w:val="00AB7040"/>
    <w:rsid w:val="00AC591B"/>
    <w:rsid w:val="00AE0C8F"/>
    <w:rsid w:val="00AF17A1"/>
    <w:rsid w:val="00B01A5B"/>
    <w:rsid w:val="00B07FDC"/>
    <w:rsid w:val="00B13A1A"/>
    <w:rsid w:val="00B16171"/>
    <w:rsid w:val="00B20B06"/>
    <w:rsid w:val="00B2275D"/>
    <w:rsid w:val="00B24C14"/>
    <w:rsid w:val="00B3365E"/>
    <w:rsid w:val="00B34E78"/>
    <w:rsid w:val="00B52C7F"/>
    <w:rsid w:val="00B57BF7"/>
    <w:rsid w:val="00B71F18"/>
    <w:rsid w:val="00B819B8"/>
    <w:rsid w:val="00B868AD"/>
    <w:rsid w:val="00BA031E"/>
    <w:rsid w:val="00BA3AF4"/>
    <w:rsid w:val="00BB5642"/>
    <w:rsid w:val="00BB5AB6"/>
    <w:rsid w:val="00BC0AF1"/>
    <w:rsid w:val="00BD193D"/>
    <w:rsid w:val="00BD4DF4"/>
    <w:rsid w:val="00BD60DC"/>
    <w:rsid w:val="00BE2CCC"/>
    <w:rsid w:val="00C06698"/>
    <w:rsid w:val="00C069B2"/>
    <w:rsid w:val="00C126C6"/>
    <w:rsid w:val="00C1383A"/>
    <w:rsid w:val="00C20183"/>
    <w:rsid w:val="00C334C4"/>
    <w:rsid w:val="00C354AC"/>
    <w:rsid w:val="00C44A84"/>
    <w:rsid w:val="00C5536D"/>
    <w:rsid w:val="00C56996"/>
    <w:rsid w:val="00C56B72"/>
    <w:rsid w:val="00C60086"/>
    <w:rsid w:val="00C600F8"/>
    <w:rsid w:val="00C80753"/>
    <w:rsid w:val="00C846DC"/>
    <w:rsid w:val="00CA58FD"/>
    <w:rsid w:val="00CA70FC"/>
    <w:rsid w:val="00CB1474"/>
    <w:rsid w:val="00CB2AAB"/>
    <w:rsid w:val="00CB3957"/>
    <w:rsid w:val="00CB6533"/>
    <w:rsid w:val="00CD1479"/>
    <w:rsid w:val="00CE3DBB"/>
    <w:rsid w:val="00CE5223"/>
    <w:rsid w:val="00CF7057"/>
    <w:rsid w:val="00D031B2"/>
    <w:rsid w:val="00D10180"/>
    <w:rsid w:val="00D11638"/>
    <w:rsid w:val="00D26498"/>
    <w:rsid w:val="00D26A88"/>
    <w:rsid w:val="00D4035A"/>
    <w:rsid w:val="00D42E5D"/>
    <w:rsid w:val="00D449A6"/>
    <w:rsid w:val="00D47E0A"/>
    <w:rsid w:val="00D76046"/>
    <w:rsid w:val="00D77BC3"/>
    <w:rsid w:val="00D8480F"/>
    <w:rsid w:val="00DA0033"/>
    <w:rsid w:val="00DA0669"/>
    <w:rsid w:val="00DA0DBC"/>
    <w:rsid w:val="00DA1169"/>
    <w:rsid w:val="00DB3CC8"/>
    <w:rsid w:val="00DB7586"/>
    <w:rsid w:val="00DB7CC6"/>
    <w:rsid w:val="00DC0A07"/>
    <w:rsid w:val="00DC2516"/>
    <w:rsid w:val="00DD5A99"/>
    <w:rsid w:val="00DD6F13"/>
    <w:rsid w:val="00DE231C"/>
    <w:rsid w:val="00DF003B"/>
    <w:rsid w:val="00E12B8C"/>
    <w:rsid w:val="00E14C62"/>
    <w:rsid w:val="00E202F5"/>
    <w:rsid w:val="00E21E50"/>
    <w:rsid w:val="00E223A4"/>
    <w:rsid w:val="00E2275B"/>
    <w:rsid w:val="00E2368D"/>
    <w:rsid w:val="00E2374B"/>
    <w:rsid w:val="00E5126D"/>
    <w:rsid w:val="00E54E11"/>
    <w:rsid w:val="00E574B1"/>
    <w:rsid w:val="00E7569C"/>
    <w:rsid w:val="00E84409"/>
    <w:rsid w:val="00E85E1B"/>
    <w:rsid w:val="00E90252"/>
    <w:rsid w:val="00EA793B"/>
    <w:rsid w:val="00EB0C3B"/>
    <w:rsid w:val="00EB38D0"/>
    <w:rsid w:val="00EC5C86"/>
    <w:rsid w:val="00EC64BA"/>
    <w:rsid w:val="00EE0A0F"/>
    <w:rsid w:val="00EF4A1E"/>
    <w:rsid w:val="00F02A40"/>
    <w:rsid w:val="00F0578D"/>
    <w:rsid w:val="00F15976"/>
    <w:rsid w:val="00F17346"/>
    <w:rsid w:val="00F32CDA"/>
    <w:rsid w:val="00F41B7D"/>
    <w:rsid w:val="00F42E0C"/>
    <w:rsid w:val="00F43690"/>
    <w:rsid w:val="00F44D92"/>
    <w:rsid w:val="00F62110"/>
    <w:rsid w:val="00F622F8"/>
    <w:rsid w:val="00F73C51"/>
    <w:rsid w:val="00F84258"/>
    <w:rsid w:val="00F95A6B"/>
    <w:rsid w:val="00FA277D"/>
    <w:rsid w:val="00FA5547"/>
    <w:rsid w:val="00FA6580"/>
    <w:rsid w:val="00FB0320"/>
    <w:rsid w:val="00FB65D5"/>
    <w:rsid w:val="00FC03B0"/>
    <w:rsid w:val="00FC1E8B"/>
    <w:rsid w:val="00FC626A"/>
    <w:rsid w:val="00FC7808"/>
    <w:rsid w:val="00FE5896"/>
    <w:rsid w:val="00FE6695"/>
    <w:rsid w:val="00FF13E3"/>
    <w:rsid w:val="00FF40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 fill="f" fillcolor="white" stroke="f">
      <v:fill color="white" on="f"/>
      <v:stroke on="f"/>
      <v:shadow color="black" opacity="49151f" offset=".74833mm,.74833mm"/>
      <o:colormru v:ext="edit" colors="#ccf,#ccccd5,#eaeaea,#b50e20,#d10019"/>
    </o:shapedefaults>
    <o:shapelayout v:ext="edit">
      <o:idmap v:ext="edit" data="1"/>
    </o:shapelayout>
  </w:shapeDefaults>
  <w:doNotEmbedSmartTags/>
  <w:decimalSymbol w:val=","/>
  <w:listSeparator w:val=";"/>
  <w14:docId w14:val="35C4E5CC"/>
  <w15:docId w15:val="{B371AF47-87DC-406D-AA87-482000EACC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E2368D"/>
    <w:rPr>
      <w:sz w:val="24"/>
      <w:szCs w:val="24"/>
      <w:lang w:val="de-AT" w:eastAsia="de-AT"/>
    </w:rPr>
  </w:style>
  <w:style w:type="paragraph" w:styleId="Cmsor1">
    <w:name w:val="heading 1"/>
    <w:basedOn w:val="Norml"/>
    <w:next w:val="Norml"/>
    <w:qFormat/>
    <w:rsid w:val="00E2368D"/>
    <w:pPr>
      <w:keepNext/>
      <w:spacing w:after="60" w:line="220" w:lineRule="atLeast"/>
      <w:outlineLvl w:val="0"/>
    </w:pPr>
    <w:rPr>
      <w:rFonts w:ascii="Arial" w:hAnsi="Arial" w:cs="Arial"/>
      <w:b/>
      <w:bCs/>
      <w:color w:val="FF0000"/>
      <w:sz w:val="20"/>
      <w:szCs w:val="20"/>
    </w:rPr>
  </w:style>
  <w:style w:type="paragraph" w:styleId="Cmsor2">
    <w:name w:val="heading 2"/>
    <w:basedOn w:val="Norml"/>
    <w:next w:val="Norml"/>
    <w:qFormat/>
    <w:rsid w:val="00E2368D"/>
    <w:pPr>
      <w:keepNext/>
      <w:spacing w:line="220" w:lineRule="atLeast"/>
      <w:jc w:val="both"/>
      <w:outlineLvl w:val="1"/>
    </w:pPr>
    <w:rPr>
      <w:rFonts w:ascii="Arial" w:hAnsi="Arial"/>
      <w:b/>
      <w:color w:val="CF0000"/>
      <w:sz w:val="20"/>
    </w:rPr>
  </w:style>
  <w:style w:type="paragraph" w:styleId="Cmsor3">
    <w:name w:val="heading 3"/>
    <w:basedOn w:val="Norml"/>
    <w:next w:val="Norml"/>
    <w:qFormat/>
    <w:rsid w:val="00E2368D"/>
    <w:pPr>
      <w:keepNext/>
      <w:jc w:val="center"/>
      <w:outlineLvl w:val="2"/>
    </w:pPr>
    <w:rPr>
      <w:rFonts w:ascii="Arial" w:hAnsi="Arial"/>
      <w:b/>
      <w:color w:val="CF0000"/>
      <w:sz w:val="17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rsid w:val="00E2368D"/>
    <w:pPr>
      <w:tabs>
        <w:tab w:val="center" w:pos="4536"/>
        <w:tab w:val="right" w:pos="9072"/>
      </w:tabs>
    </w:pPr>
  </w:style>
  <w:style w:type="paragraph" w:styleId="llb">
    <w:name w:val="footer"/>
    <w:basedOn w:val="Norml"/>
    <w:link w:val="llbChar"/>
    <w:uiPriority w:val="99"/>
    <w:rsid w:val="00E2368D"/>
    <w:pPr>
      <w:tabs>
        <w:tab w:val="center" w:pos="4536"/>
        <w:tab w:val="right" w:pos="9072"/>
      </w:tabs>
    </w:pPr>
  </w:style>
  <w:style w:type="paragraph" w:styleId="Szvegtrzs">
    <w:name w:val="Body Text"/>
    <w:basedOn w:val="Norml"/>
    <w:link w:val="SzvegtrzsChar"/>
    <w:uiPriority w:val="99"/>
    <w:rsid w:val="00E2368D"/>
    <w:pPr>
      <w:jc w:val="both"/>
    </w:pPr>
    <w:rPr>
      <w:rFonts w:ascii="Arial" w:hAnsi="Arial"/>
      <w:color w:val="808080"/>
      <w:sz w:val="17"/>
    </w:rPr>
  </w:style>
  <w:style w:type="paragraph" w:styleId="Buborkszveg">
    <w:name w:val="Balloon Text"/>
    <w:basedOn w:val="Norml"/>
    <w:semiHidden/>
    <w:rsid w:val="00E2368D"/>
    <w:rPr>
      <w:rFonts w:ascii="Tahoma" w:hAnsi="Tahoma" w:cs="Tahoma"/>
      <w:sz w:val="16"/>
      <w:szCs w:val="16"/>
    </w:rPr>
  </w:style>
  <w:style w:type="character" w:styleId="Hiperhivatkozs">
    <w:name w:val="Hyperlink"/>
    <w:basedOn w:val="Bekezdsalapbettpusa"/>
    <w:rsid w:val="00E2368D"/>
    <w:rPr>
      <w:color w:val="0000FF"/>
      <w:u w:val="single"/>
    </w:rPr>
  </w:style>
  <w:style w:type="paragraph" w:styleId="Lbjegyzetszveg">
    <w:name w:val="footnote text"/>
    <w:basedOn w:val="Norml"/>
    <w:semiHidden/>
    <w:rsid w:val="00E2368D"/>
    <w:rPr>
      <w:sz w:val="20"/>
      <w:szCs w:val="20"/>
    </w:rPr>
  </w:style>
  <w:style w:type="character" w:styleId="Lbjegyzet-hivatkozs">
    <w:name w:val="footnote reference"/>
    <w:basedOn w:val="Bekezdsalapbettpusa"/>
    <w:semiHidden/>
    <w:rsid w:val="00E2368D"/>
    <w:rPr>
      <w:vertAlign w:val="superscript"/>
    </w:rPr>
  </w:style>
  <w:style w:type="paragraph" w:styleId="Szvegtrzs2">
    <w:name w:val="Body Text 2"/>
    <w:basedOn w:val="Norml"/>
    <w:rsid w:val="00E2368D"/>
    <w:pPr>
      <w:spacing w:line="220" w:lineRule="atLeast"/>
      <w:ind w:right="-207"/>
      <w:jc w:val="both"/>
    </w:pPr>
    <w:rPr>
      <w:rFonts w:ascii="Arial" w:hAnsi="Arial"/>
      <w:color w:val="333333"/>
      <w:sz w:val="18"/>
    </w:rPr>
  </w:style>
  <w:style w:type="character" w:styleId="Mrltotthiperhivatkozs">
    <w:name w:val="FollowedHyperlink"/>
    <w:basedOn w:val="Bekezdsalapbettpusa"/>
    <w:rsid w:val="00C655DB"/>
    <w:rPr>
      <w:color w:val="800080"/>
      <w:u w:val="single"/>
    </w:rPr>
  </w:style>
  <w:style w:type="character" w:customStyle="1" w:styleId="llbChar">
    <w:name w:val="Élőláb Char"/>
    <w:basedOn w:val="Bekezdsalapbettpusa"/>
    <w:link w:val="llb"/>
    <w:uiPriority w:val="99"/>
    <w:rsid w:val="00D77BC3"/>
    <w:rPr>
      <w:sz w:val="24"/>
      <w:szCs w:val="24"/>
      <w:lang w:val="de-AT" w:eastAsia="de-AT"/>
    </w:rPr>
  </w:style>
  <w:style w:type="paragraph" w:customStyle="1" w:styleId="Numerationlevel1">
    <w:name w:val="Numeration level 1"/>
    <w:rsid w:val="0083642B"/>
    <w:pPr>
      <w:numPr>
        <w:numId w:val="11"/>
      </w:numPr>
      <w:spacing w:line="280" w:lineRule="atLeast"/>
    </w:pPr>
    <w:rPr>
      <w:rFonts w:ascii="Arial" w:hAnsi="Arial"/>
      <w:szCs w:val="24"/>
      <w:lang w:val="de-AT" w:eastAsia="de-AT"/>
    </w:rPr>
  </w:style>
  <w:style w:type="character" w:styleId="Jegyzethivatkozs">
    <w:name w:val="annotation reference"/>
    <w:basedOn w:val="Bekezdsalapbettpusa"/>
    <w:semiHidden/>
    <w:unhideWhenUsed/>
    <w:rsid w:val="007109D2"/>
    <w:rPr>
      <w:sz w:val="16"/>
      <w:szCs w:val="16"/>
    </w:rPr>
  </w:style>
  <w:style w:type="paragraph" w:styleId="Jegyzetszveg">
    <w:name w:val="annotation text"/>
    <w:basedOn w:val="Norml"/>
    <w:link w:val="JegyzetszvegChar"/>
    <w:semiHidden/>
    <w:unhideWhenUsed/>
    <w:rsid w:val="007109D2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7109D2"/>
    <w:rPr>
      <w:lang w:val="de-AT" w:eastAsia="de-AT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7109D2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7109D2"/>
    <w:rPr>
      <w:b/>
      <w:bCs/>
      <w:lang w:val="de-AT" w:eastAsia="de-AT"/>
    </w:rPr>
  </w:style>
  <w:style w:type="character" w:customStyle="1" w:styleId="SzvegtrzsChar">
    <w:name w:val="Szövegtörzs Char"/>
    <w:basedOn w:val="Bekezdsalapbettpusa"/>
    <w:link w:val="Szvegtrzs"/>
    <w:uiPriority w:val="99"/>
    <w:rsid w:val="00BD193D"/>
    <w:rPr>
      <w:rFonts w:ascii="Arial" w:hAnsi="Arial"/>
      <w:color w:val="808080"/>
      <w:sz w:val="17"/>
      <w:szCs w:val="24"/>
      <w:lang w:val="de-AT" w:eastAsia="de-AT"/>
    </w:rPr>
  </w:style>
  <w:style w:type="paragraph" w:styleId="Listaszerbekezds">
    <w:name w:val="List Paragraph"/>
    <w:basedOn w:val="Norml"/>
    <w:uiPriority w:val="34"/>
    <w:qFormat/>
    <w:rsid w:val="009C0FDC"/>
    <w:pPr>
      <w:ind w:left="720"/>
      <w:contextualSpacing/>
    </w:pPr>
  </w:style>
  <w:style w:type="paragraph" w:styleId="Vltozat">
    <w:name w:val="Revision"/>
    <w:hidden/>
    <w:uiPriority w:val="99"/>
    <w:semiHidden/>
    <w:rsid w:val="00705B18"/>
    <w:rPr>
      <w:sz w:val="24"/>
      <w:szCs w:val="24"/>
      <w:lang w:val="de-AT" w:eastAsia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728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98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95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64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Egyéni 1. séma">
      <a:dk1>
        <a:sysClr val="windowText" lastClr="000000"/>
      </a:dk1>
      <a:lt1>
        <a:sysClr val="window" lastClr="FFFFFF"/>
      </a:lt1>
      <a:dk2>
        <a:srgbClr val="232157"/>
      </a:dk2>
      <a:lt2>
        <a:srgbClr val="C8BE82"/>
      </a:lt2>
      <a:accent1>
        <a:srgbClr val="232157"/>
      </a:accent1>
      <a:accent2>
        <a:srgbClr val="7B7A9A"/>
      </a:accent2>
      <a:accent3>
        <a:srgbClr val="A7A6A8"/>
      </a:accent3>
      <a:accent4>
        <a:srgbClr val="E75800"/>
      </a:accent4>
      <a:accent5>
        <a:srgbClr val="322EA4"/>
      </a:accent5>
      <a:accent6>
        <a:srgbClr val="958E60"/>
      </a:accent6>
      <a:hlink>
        <a:srgbClr val="0000FF"/>
      </a:hlink>
      <a:folHlink>
        <a:srgbClr val="800080"/>
      </a:folHlink>
    </a:clrScheme>
    <a:fontScheme name="Klasszikus Office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txDef>
      <a:spPr/>
      <a:bodyPr anchor="t" anchorCtr="0">
        <a:noAutofit/>
      </a:bodyPr>
      <a:lstStyle>
        <a:defPPr>
          <a:defRPr sz="1600" dirty="0" smtClean="0"/>
        </a:defPPr>
      </a:lst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2F5F12-C6E9-40E7-A8A9-484D2EFF55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155</Words>
  <Characters>824</Characters>
  <Application>Microsoft Office Word</Application>
  <DocSecurity>0</DocSecurity>
  <Lines>6</Lines>
  <Paragraphs>1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>DIE WIENER BÖRSE</vt:lpstr>
    </vt:vector>
  </TitlesOfParts>
  <Company>Budapesti ÉrtékTőzsde Zrt.</Company>
  <LinksUpToDate>false</LinksUpToDate>
  <CharactersWithSpaces>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Staar Péter</dc:creator>
  <dc:description>&lt;&lt;Tárgy&gt;&gt;</dc:description>
  <cp:lastModifiedBy>Dr. Ruttkai András</cp:lastModifiedBy>
  <cp:revision>4</cp:revision>
  <cp:lastPrinted>2011-03-11T16:35:00Z</cp:lastPrinted>
  <dcterms:created xsi:type="dcterms:W3CDTF">2021-07-14T14:30:00Z</dcterms:created>
  <dcterms:modified xsi:type="dcterms:W3CDTF">2021-07-14T14:36:00Z</dcterms:modified>
</cp:coreProperties>
</file>